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78A9" w14:textId="1A57A0AB" w:rsidR="00366B25" w:rsidRDefault="00366B25" w:rsidP="00366B25">
      <w:pPr>
        <w:shd w:val="clear" w:color="auto" w:fill="FFFFFF"/>
        <w:spacing w:after="75" w:line="240" w:lineRule="auto"/>
        <w:jc w:val="center"/>
        <w:outlineLvl w:val="1"/>
        <w:rPr>
          <w:rFonts w:ascii="Source Sans Pro" w:eastAsia="Times New Roman" w:hAnsi="Source Sans Pro" w:cs="Times New Roman"/>
          <w:b/>
          <w:bCs/>
          <w:color w:val="1E384B"/>
          <w:sz w:val="36"/>
          <w:szCs w:val="36"/>
        </w:rPr>
      </w:pPr>
      <w:r>
        <w:rPr>
          <w:rFonts w:ascii="Source Sans Pro" w:eastAsia="Times New Roman" w:hAnsi="Source Sans Pro" w:cs="Times New Roman"/>
          <w:b/>
          <w:bCs/>
          <w:color w:val="1E384B"/>
          <w:sz w:val="36"/>
          <w:szCs w:val="36"/>
        </w:rPr>
        <w:t>Peer Recovery Support Specialist Services</w:t>
      </w:r>
    </w:p>
    <w:p w14:paraId="2EBB82BC" w14:textId="77777777" w:rsidR="00366B25" w:rsidRDefault="00366B25" w:rsidP="00366B25">
      <w:pPr>
        <w:shd w:val="clear" w:color="auto" w:fill="FFFFFF"/>
        <w:spacing w:after="75" w:line="240" w:lineRule="auto"/>
        <w:jc w:val="center"/>
        <w:outlineLvl w:val="1"/>
        <w:rPr>
          <w:rFonts w:ascii="Source Sans Pro" w:eastAsia="Times New Roman" w:hAnsi="Source Sans Pro" w:cs="Times New Roman"/>
          <w:b/>
          <w:bCs/>
          <w:color w:val="1E384B"/>
          <w:sz w:val="36"/>
          <w:szCs w:val="36"/>
        </w:rPr>
      </w:pPr>
    </w:p>
    <w:p w14:paraId="163245D5" w14:textId="74A067A1" w:rsidR="00366B25" w:rsidRPr="00366B25" w:rsidRDefault="00366B25" w:rsidP="00366B25">
      <w:pPr>
        <w:shd w:val="clear" w:color="auto" w:fill="FFFFFF"/>
        <w:spacing w:after="75" w:line="240" w:lineRule="auto"/>
        <w:outlineLvl w:val="1"/>
        <w:rPr>
          <w:rFonts w:ascii="Source Sans Pro" w:eastAsia="Times New Roman" w:hAnsi="Source Sans Pro" w:cs="Times New Roman"/>
          <w:b/>
          <w:bCs/>
          <w:color w:val="1E384B"/>
          <w:sz w:val="36"/>
          <w:szCs w:val="36"/>
        </w:rPr>
      </w:pPr>
      <w:r w:rsidRPr="00366B25">
        <w:rPr>
          <w:rFonts w:ascii="Source Sans Pro" w:eastAsia="Times New Roman" w:hAnsi="Source Sans Pro" w:cs="Times New Roman"/>
          <w:b/>
          <w:bCs/>
          <w:color w:val="1E384B"/>
          <w:sz w:val="36"/>
          <w:szCs w:val="36"/>
        </w:rPr>
        <w:t>Who Are Peer Workers?</w:t>
      </w:r>
    </w:p>
    <w:p w14:paraId="21ADADFC" w14:textId="77777777" w:rsidR="00366B25" w:rsidRPr="00366B25" w:rsidRDefault="00366B25" w:rsidP="00366B25">
      <w:pPr>
        <w:shd w:val="clear" w:color="auto" w:fill="FFFFFF"/>
        <w:spacing w:after="180" w:line="240" w:lineRule="auto"/>
        <w:rPr>
          <w:rFonts w:ascii="Source Sans Pro" w:eastAsia="Times New Roman" w:hAnsi="Source Sans Pro" w:cs="Times New Roman"/>
          <w:color w:val="4A4A4A"/>
          <w:sz w:val="25"/>
          <w:szCs w:val="25"/>
        </w:rPr>
      </w:pPr>
      <w:r w:rsidRPr="00366B25">
        <w:rPr>
          <w:rFonts w:ascii="Source Sans Pro" w:eastAsia="Times New Roman" w:hAnsi="Source Sans Pro" w:cs="Times New Roman"/>
          <w:color w:val="4A4A4A"/>
          <w:sz w:val="25"/>
          <w:szCs w:val="25"/>
        </w:rPr>
        <w:t>Peer support workers are people who have been successful in the recovery process who help others experiencing similar situations. Through shared understanding, respect, and mutual empowerment, peer support workers help people become and stay engaged in the recovery process and reduce the likelihood of relapse. Peer support services can effectively extend the reach of treatment beyond the clinical setting into the everyday environment of those seeking a successful, sustained recovery process.</w:t>
      </w:r>
    </w:p>
    <w:p w14:paraId="1EF85977" w14:textId="77777777" w:rsidR="00366B25" w:rsidRPr="00366B25" w:rsidRDefault="00366B25" w:rsidP="00366B25">
      <w:pPr>
        <w:shd w:val="clear" w:color="auto" w:fill="FFFFFF"/>
        <w:spacing w:after="180" w:line="240" w:lineRule="auto"/>
        <w:rPr>
          <w:rFonts w:ascii="Source Sans Pro" w:eastAsia="Times New Roman" w:hAnsi="Source Sans Pro" w:cs="Times New Roman"/>
          <w:color w:val="4A4A4A"/>
          <w:sz w:val="25"/>
          <w:szCs w:val="25"/>
        </w:rPr>
      </w:pPr>
      <w:r w:rsidRPr="00366B25">
        <w:rPr>
          <w:rFonts w:ascii="Source Sans Pro" w:eastAsia="Times New Roman" w:hAnsi="Source Sans Pro" w:cs="Times New Roman"/>
          <w:color w:val="4A4A4A"/>
          <w:sz w:val="25"/>
          <w:szCs w:val="25"/>
        </w:rPr>
        <w:t>Bringing Recovery Supports to Scale Technical Assistance Center Strategy (BRSS TACS) is enriched by the lived experiences of people in recovery, who play key roles in BRSS TACS project leadership, development, and implementation.</w:t>
      </w:r>
    </w:p>
    <w:p w14:paraId="282A0E17" w14:textId="77777777" w:rsidR="00366B25" w:rsidRPr="00366B25" w:rsidRDefault="00366B25" w:rsidP="00366B25">
      <w:pPr>
        <w:shd w:val="clear" w:color="auto" w:fill="FFFFFF"/>
        <w:spacing w:after="75" w:line="240" w:lineRule="auto"/>
        <w:outlineLvl w:val="2"/>
        <w:rPr>
          <w:rFonts w:ascii="Source Sans Pro" w:eastAsia="Times New Roman" w:hAnsi="Source Sans Pro" w:cs="Times New Roman"/>
          <w:b/>
          <w:bCs/>
          <w:color w:val="1E384B"/>
          <w:sz w:val="27"/>
          <w:szCs w:val="27"/>
        </w:rPr>
      </w:pPr>
      <w:r w:rsidRPr="00366B25">
        <w:rPr>
          <w:rFonts w:ascii="Source Sans Pro" w:eastAsia="Times New Roman" w:hAnsi="Source Sans Pro" w:cs="Times New Roman"/>
          <w:b/>
          <w:bCs/>
          <w:color w:val="1E384B"/>
          <w:sz w:val="27"/>
          <w:szCs w:val="27"/>
        </w:rPr>
        <w:t>Peer Support Role</w:t>
      </w:r>
    </w:p>
    <w:p w14:paraId="706B60C5" w14:textId="77777777" w:rsidR="00366B25" w:rsidRPr="00366B25" w:rsidRDefault="00366B25" w:rsidP="00366B25">
      <w:pPr>
        <w:shd w:val="clear" w:color="auto" w:fill="FFFFFF"/>
        <w:spacing w:after="180" w:line="240" w:lineRule="auto"/>
        <w:rPr>
          <w:rFonts w:ascii="Source Sans Pro" w:eastAsia="Times New Roman" w:hAnsi="Source Sans Pro" w:cs="Times New Roman"/>
          <w:color w:val="4A4A4A"/>
          <w:sz w:val="25"/>
          <w:szCs w:val="25"/>
        </w:rPr>
      </w:pPr>
      <w:r w:rsidRPr="00366B25">
        <w:rPr>
          <w:rFonts w:ascii="Source Sans Pro" w:eastAsia="Times New Roman" w:hAnsi="Source Sans Pro" w:cs="Times New Roman"/>
          <w:color w:val="4A4A4A"/>
          <w:sz w:val="25"/>
          <w:szCs w:val="25"/>
        </w:rPr>
        <w:t>Peer support workers engage in a wide range of activities. These include:</w:t>
      </w:r>
    </w:p>
    <w:p w14:paraId="626C4C4B" w14:textId="77777777" w:rsidR="00366B25" w:rsidRPr="00366B25" w:rsidRDefault="00366B25" w:rsidP="00366B25">
      <w:pPr>
        <w:numPr>
          <w:ilvl w:val="0"/>
          <w:numId w:val="2"/>
        </w:numPr>
        <w:shd w:val="clear" w:color="auto" w:fill="FFFFFF"/>
        <w:spacing w:before="100" w:beforeAutospacing="1" w:after="120" w:line="240" w:lineRule="auto"/>
        <w:ind w:left="1320"/>
        <w:rPr>
          <w:rFonts w:ascii="Source Sans Pro" w:eastAsia="Times New Roman" w:hAnsi="Source Sans Pro" w:cs="Times New Roman"/>
          <w:color w:val="4A4A4A"/>
          <w:sz w:val="25"/>
          <w:szCs w:val="25"/>
        </w:rPr>
      </w:pPr>
      <w:r w:rsidRPr="00366B25">
        <w:rPr>
          <w:rFonts w:ascii="Source Sans Pro" w:eastAsia="Times New Roman" w:hAnsi="Source Sans Pro" w:cs="Times New Roman"/>
          <w:color w:val="4A4A4A"/>
          <w:sz w:val="25"/>
          <w:szCs w:val="25"/>
        </w:rPr>
        <w:t>Advocating for people in recovery</w:t>
      </w:r>
    </w:p>
    <w:p w14:paraId="6FB7B448" w14:textId="77777777" w:rsidR="00366B25" w:rsidRPr="00366B25" w:rsidRDefault="00366B25" w:rsidP="00366B25">
      <w:pPr>
        <w:numPr>
          <w:ilvl w:val="0"/>
          <w:numId w:val="2"/>
        </w:numPr>
        <w:shd w:val="clear" w:color="auto" w:fill="FFFFFF"/>
        <w:spacing w:before="100" w:beforeAutospacing="1" w:after="120" w:line="240" w:lineRule="auto"/>
        <w:ind w:left="1320"/>
        <w:rPr>
          <w:rFonts w:ascii="Source Sans Pro" w:eastAsia="Times New Roman" w:hAnsi="Source Sans Pro" w:cs="Times New Roman"/>
          <w:color w:val="4A4A4A"/>
          <w:sz w:val="25"/>
          <w:szCs w:val="25"/>
        </w:rPr>
      </w:pPr>
      <w:r w:rsidRPr="00366B25">
        <w:rPr>
          <w:rFonts w:ascii="Source Sans Pro" w:eastAsia="Times New Roman" w:hAnsi="Source Sans Pro" w:cs="Times New Roman"/>
          <w:color w:val="4A4A4A"/>
          <w:sz w:val="25"/>
          <w:szCs w:val="25"/>
        </w:rPr>
        <w:t>Sharing resources and building skills</w:t>
      </w:r>
    </w:p>
    <w:p w14:paraId="758C2298" w14:textId="77777777" w:rsidR="00366B25" w:rsidRPr="00366B25" w:rsidRDefault="00366B25" w:rsidP="00366B25">
      <w:pPr>
        <w:numPr>
          <w:ilvl w:val="0"/>
          <w:numId w:val="2"/>
        </w:numPr>
        <w:shd w:val="clear" w:color="auto" w:fill="FFFFFF"/>
        <w:spacing w:before="100" w:beforeAutospacing="1" w:after="120" w:line="240" w:lineRule="auto"/>
        <w:ind w:left="1320"/>
        <w:rPr>
          <w:rFonts w:ascii="Source Sans Pro" w:eastAsia="Times New Roman" w:hAnsi="Source Sans Pro" w:cs="Times New Roman"/>
          <w:color w:val="4A4A4A"/>
          <w:sz w:val="25"/>
          <w:szCs w:val="25"/>
        </w:rPr>
      </w:pPr>
      <w:r w:rsidRPr="00366B25">
        <w:rPr>
          <w:rFonts w:ascii="Source Sans Pro" w:eastAsia="Times New Roman" w:hAnsi="Source Sans Pro" w:cs="Times New Roman"/>
          <w:color w:val="4A4A4A"/>
          <w:sz w:val="25"/>
          <w:szCs w:val="25"/>
        </w:rPr>
        <w:t>Building community and relationships</w:t>
      </w:r>
    </w:p>
    <w:p w14:paraId="1C18058D" w14:textId="77777777" w:rsidR="00366B25" w:rsidRPr="00366B25" w:rsidRDefault="00366B25" w:rsidP="00366B25">
      <w:pPr>
        <w:numPr>
          <w:ilvl w:val="0"/>
          <w:numId w:val="2"/>
        </w:numPr>
        <w:shd w:val="clear" w:color="auto" w:fill="FFFFFF"/>
        <w:spacing w:before="100" w:beforeAutospacing="1" w:after="120" w:line="240" w:lineRule="auto"/>
        <w:ind w:left="1320"/>
        <w:rPr>
          <w:rFonts w:ascii="Source Sans Pro" w:eastAsia="Times New Roman" w:hAnsi="Source Sans Pro" w:cs="Times New Roman"/>
          <w:color w:val="4A4A4A"/>
          <w:sz w:val="25"/>
          <w:szCs w:val="25"/>
        </w:rPr>
      </w:pPr>
      <w:r w:rsidRPr="00366B25">
        <w:rPr>
          <w:rFonts w:ascii="Source Sans Pro" w:eastAsia="Times New Roman" w:hAnsi="Source Sans Pro" w:cs="Times New Roman"/>
          <w:color w:val="4A4A4A"/>
          <w:sz w:val="25"/>
          <w:szCs w:val="25"/>
        </w:rPr>
        <w:t>Leading recovery groups</w:t>
      </w:r>
    </w:p>
    <w:p w14:paraId="6099AE17" w14:textId="77777777" w:rsidR="00366B25" w:rsidRPr="00366B25" w:rsidRDefault="00366B25" w:rsidP="00366B25">
      <w:pPr>
        <w:numPr>
          <w:ilvl w:val="0"/>
          <w:numId w:val="2"/>
        </w:numPr>
        <w:shd w:val="clear" w:color="auto" w:fill="FFFFFF"/>
        <w:spacing w:before="100" w:beforeAutospacing="1" w:after="120" w:line="240" w:lineRule="auto"/>
        <w:ind w:left="1320"/>
        <w:rPr>
          <w:rFonts w:ascii="Source Sans Pro" w:eastAsia="Times New Roman" w:hAnsi="Source Sans Pro" w:cs="Times New Roman"/>
          <w:color w:val="4A4A4A"/>
          <w:sz w:val="25"/>
          <w:szCs w:val="25"/>
        </w:rPr>
      </w:pPr>
      <w:r w:rsidRPr="00366B25">
        <w:rPr>
          <w:rFonts w:ascii="Source Sans Pro" w:eastAsia="Times New Roman" w:hAnsi="Source Sans Pro" w:cs="Times New Roman"/>
          <w:color w:val="4A4A4A"/>
          <w:sz w:val="25"/>
          <w:szCs w:val="25"/>
        </w:rPr>
        <w:t>Mentoring and setting goals</w:t>
      </w:r>
    </w:p>
    <w:p w14:paraId="02B88738" w14:textId="77777777" w:rsidR="00366B25" w:rsidRPr="00366B25" w:rsidRDefault="00366B25" w:rsidP="00366B25">
      <w:pPr>
        <w:shd w:val="clear" w:color="auto" w:fill="FFFFFF"/>
        <w:spacing w:after="180" w:line="240" w:lineRule="auto"/>
        <w:rPr>
          <w:rFonts w:ascii="Source Sans Pro" w:eastAsia="Times New Roman" w:hAnsi="Source Sans Pro" w:cs="Times New Roman"/>
          <w:color w:val="4A4A4A"/>
          <w:sz w:val="25"/>
          <w:szCs w:val="25"/>
        </w:rPr>
      </w:pPr>
      <w:r w:rsidRPr="00366B25">
        <w:rPr>
          <w:rFonts w:ascii="Source Sans Pro" w:eastAsia="Times New Roman" w:hAnsi="Source Sans Pro" w:cs="Times New Roman"/>
          <w:color w:val="4A4A4A"/>
          <w:sz w:val="25"/>
          <w:szCs w:val="25"/>
        </w:rPr>
        <w:t>Peer support roles may also extend to the following:</w:t>
      </w:r>
    </w:p>
    <w:p w14:paraId="7C28212B" w14:textId="77777777" w:rsidR="00366B25" w:rsidRPr="00366B25" w:rsidRDefault="00366B25" w:rsidP="00366B25">
      <w:pPr>
        <w:numPr>
          <w:ilvl w:val="0"/>
          <w:numId w:val="3"/>
        </w:numPr>
        <w:shd w:val="clear" w:color="auto" w:fill="FFFFFF"/>
        <w:spacing w:before="100" w:beforeAutospacing="1" w:after="120" w:line="240" w:lineRule="auto"/>
        <w:ind w:left="1320"/>
        <w:rPr>
          <w:rFonts w:ascii="Source Sans Pro" w:eastAsia="Times New Roman" w:hAnsi="Source Sans Pro" w:cs="Times New Roman"/>
          <w:color w:val="4A4A4A"/>
          <w:sz w:val="25"/>
          <w:szCs w:val="25"/>
        </w:rPr>
      </w:pPr>
      <w:r w:rsidRPr="00366B25">
        <w:rPr>
          <w:rFonts w:ascii="Source Sans Pro" w:eastAsia="Times New Roman" w:hAnsi="Source Sans Pro" w:cs="Times New Roman"/>
          <w:color w:val="4A4A4A"/>
          <w:sz w:val="25"/>
          <w:szCs w:val="25"/>
        </w:rPr>
        <w:t>Providing services and/or training</w:t>
      </w:r>
    </w:p>
    <w:p w14:paraId="2A8D66CF" w14:textId="77777777" w:rsidR="00366B25" w:rsidRPr="00366B25" w:rsidRDefault="00366B25" w:rsidP="00366B25">
      <w:pPr>
        <w:numPr>
          <w:ilvl w:val="0"/>
          <w:numId w:val="3"/>
        </w:numPr>
        <w:shd w:val="clear" w:color="auto" w:fill="FFFFFF"/>
        <w:spacing w:before="100" w:beforeAutospacing="1" w:after="120" w:line="240" w:lineRule="auto"/>
        <w:ind w:left="1320"/>
        <w:rPr>
          <w:rFonts w:ascii="Source Sans Pro" w:eastAsia="Times New Roman" w:hAnsi="Source Sans Pro" w:cs="Times New Roman"/>
          <w:color w:val="4A4A4A"/>
          <w:sz w:val="25"/>
          <w:szCs w:val="25"/>
        </w:rPr>
      </w:pPr>
      <w:r w:rsidRPr="00366B25">
        <w:rPr>
          <w:rFonts w:ascii="Source Sans Pro" w:eastAsia="Times New Roman" w:hAnsi="Source Sans Pro" w:cs="Times New Roman"/>
          <w:color w:val="4A4A4A"/>
          <w:sz w:val="25"/>
          <w:szCs w:val="25"/>
        </w:rPr>
        <w:t>Supervising other peer workers</w:t>
      </w:r>
    </w:p>
    <w:p w14:paraId="0DADEB3E" w14:textId="77777777" w:rsidR="00366B25" w:rsidRPr="00366B25" w:rsidRDefault="00366B25" w:rsidP="00366B25">
      <w:pPr>
        <w:numPr>
          <w:ilvl w:val="0"/>
          <w:numId w:val="3"/>
        </w:numPr>
        <w:shd w:val="clear" w:color="auto" w:fill="FFFFFF"/>
        <w:spacing w:before="100" w:beforeAutospacing="1" w:after="120" w:line="240" w:lineRule="auto"/>
        <w:ind w:left="1320"/>
        <w:rPr>
          <w:rFonts w:ascii="Source Sans Pro" w:eastAsia="Times New Roman" w:hAnsi="Source Sans Pro" w:cs="Times New Roman"/>
          <w:color w:val="4A4A4A"/>
          <w:sz w:val="25"/>
          <w:szCs w:val="25"/>
        </w:rPr>
      </w:pPr>
      <w:r w:rsidRPr="00366B25">
        <w:rPr>
          <w:rFonts w:ascii="Source Sans Pro" w:eastAsia="Times New Roman" w:hAnsi="Source Sans Pro" w:cs="Times New Roman"/>
          <w:color w:val="4A4A4A"/>
          <w:sz w:val="25"/>
          <w:szCs w:val="25"/>
        </w:rPr>
        <w:t>Developing resources</w:t>
      </w:r>
    </w:p>
    <w:p w14:paraId="64266D68" w14:textId="77777777" w:rsidR="00366B25" w:rsidRPr="00366B25" w:rsidRDefault="00366B25" w:rsidP="00366B25">
      <w:pPr>
        <w:numPr>
          <w:ilvl w:val="0"/>
          <w:numId w:val="3"/>
        </w:numPr>
        <w:shd w:val="clear" w:color="auto" w:fill="FFFFFF"/>
        <w:spacing w:before="100" w:beforeAutospacing="1" w:after="120" w:line="240" w:lineRule="auto"/>
        <w:ind w:left="1320"/>
        <w:rPr>
          <w:rFonts w:ascii="Source Sans Pro" w:eastAsia="Times New Roman" w:hAnsi="Source Sans Pro" w:cs="Times New Roman"/>
          <w:color w:val="4A4A4A"/>
          <w:sz w:val="25"/>
          <w:szCs w:val="25"/>
        </w:rPr>
      </w:pPr>
      <w:r w:rsidRPr="00366B25">
        <w:rPr>
          <w:rFonts w:ascii="Source Sans Pro" w:eastAsia="Times New Roman" w:hAnsi="Source Sans Pro" w:cs="Times New Roman"/>
          <w:color w:val="4A4A4A"/>
          <w:sz w:val="25"/>
          <w:szCs w:val="25"/>
        </w:rPr>
        <w:t>Administering programs or agencies</w:t>
      </w:r>
    </w:p>
    <w:p w14:paraId="31401E5A" w14:textId="77777777" w:rsidR="00366B25" w:rsidRPr="00366B25" w:rsidRDefault="00366B25" w:rsidP="00366B25">
      <w:pPr>
        <w:numPr>
          <w:ilvl w:val="0"/>
          <w:numId w:val="3"/>
        </w:numPr>
        <w:shd w:val="clear" w:color="auto" w:fill="FFFFFF"/>
        <w:spacing w:before="100" w:beforeAutospacing="1" w:after="120" w:line="240" w:lineRule="auto"/>
        <w:ind w:left="1320"/>
        <w:rPr>
          <w:rFonts w:ascii="Source Sans Pro" w:eastAsia="Times New Roman" w:hAnsi="Source Sans Pro" w:cs="Times New Roman"/>
          <w:color w:val="4A4A4A"/>
          <w:sz w:val="25"/>
          <w:szCs w:val="25"/>
        </w:rPr>
      </w:pPr>
      <w:r w:rsidRPr="00366B25">
        <w:rPr>
          <w:rFonts w:ascii="Source Sans Pro" w:eastAsia="Times New Roman" w:hAnsi="Source Sans Pro" w:cs="Times New Roman"/>
          <w:color w:val="4A4A4A"/>
          <w:sz w:val="25"/>
          <w:szCs w:val="25"/>
        </w:rPr>
        <w:t>Educating the public and policymakers</w:t>
      </w:r>
    </w:p>
    <w:p w14:paraId="03D927EF" w14:textId="77777777" w:rsidR="00366B25" w:rsidRPr="00366B25" w:rsidRDefault="00366B25" w:rsidP="00366B25">
      <w:pPr>
        <w:shd w:val="clear" w:color="auto" w:fill="FFFFFF"/>
        <w:spacing w:after="180" w:line="240" w:lineRule="auto"/>
        <w:rPr>
          <w:rFonts w:ascii="Source Sans Pro" w:eastAsia="Times New Roman" w:hAnsi="Source Sans Pro" w:cs="Times New Roman"/>
          <w:color w:val="4A4A4A"/>
          <w:sz w:val="25"/>
          <w:szCs w:val="25"/>
        </w:rPr>
      </w:pPr>
      <w:r w:rsidRPr="00366B25">
        <w:rPr>
          <w:rFonts w:ascii="Source Sans Pro" w:eastAsia="Times New Roman" w:hAnsi="Source Sans Pro" w:cs="Times New Roman"/>
          <w:color w:val="4A4A4A"/>
          <w:sz w:val="25"/>
          <w:szCs w:val="25"/>
        </w:rPr>
        <w:t>Peer support workers may need to develop additional </w:t>
      </w:r>
      <w:hyperlink r:id="rId5" w:history="1">
        <w:r w:rsidRPr="00366B25">
          <w:rPr>
            <w:rFonts w:ascii="Source Sans Pro" w:eastAsia="Times New Roman" w:hAnsi="Source Sans Pro" w:cs="Times New Roman"/>
            <w:color w:val="1F419A"/>
            <w:sz w:val="25"/>
            <w:szCs w:val="25"/>
          </w:rPr>
          <w:t>core competencies</w:t>
        </w:r>
      </w:hyperlink>
      <w:r w:rsidRPr="00366B25">
        <w:rPr>
          <w:rFonts w:ascii="Source Sans Pro" w:eastAsia="Times New Roman" w:hAnsi="Source Sans Pro" w:cs="Times New Roman"/>
          <w:color w:val="4A4A4A"/>
          <w:sz w:val="25"/>
          <w:szCs w:val="25"/>
        </w:rPr>
        <w:t> to provide services to specific groups who also share common experiences, such as family members. The shared experience of being in recovery from a mental health and/or substance use condition or being a family member is the foundation on which the peer recovery support relationship is built in the behavioral health arena.</w:t>
      </w:r>
    </w:p>
    <w:p w14:paraId="7F26D8C8" w14:textId="77777777" w:rsidR="00683876" w:rsidRDefault="00683876"/>
    <w:sectPr w:rsidR="00683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3BCF"/>
    <w:multiLevelType w:val="multilevel"/>
    <w:tmpl w:val="8504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263C73"/>
    <w:multiLevelType w:val="multilevel"/>
    <w:tmpl w:val="896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5A233D"/>
    <w:multiLevelType w:val="multilevel"/>
    <w:tmpl w:val="29D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1124265">
    <w:abstractNumId w:val="2"/>
  </w:num>
  <w:num w:numId="2" w16cid:durableId="1722170082">
    <w:abstractNumId w:val="1"/>
  </w:num>
  <w:num w:numId="3" w16cid:durableId="50655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25"/>
    <w:rsid w:val="001A1FDB"/>
    <w:rsid w:val="00366B25"/>
    <w:rsid w:val="00683876"/>
    <w:rsid w:val="00BC0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9EEB"/>
  <w15:chartTrackingRefBased/>
  <w15:docId w15:val="{C92D5456-EDA4-4F52-BDFE-217998BC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42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mhsa.gov/brss-tacs/recovery-support-tools/peers/core-competencies-peer-work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Wyrick</dc:creator>
  <cp:keywords/>
  <dc:description/>
  <cp:lastModifiedBy>Kathy Wyrick</cp:lastModifiedBy>
  <cp:revision>1</cp:revision>
  <dcterms:created xsi:type="dcterms:W3CDTF">2023-02-22T22:21:00Z</dcterms:created>
  <dcterms:modified xsi:type="dcterms:W3CDTF">2023-02-22T22:26:00Z</dcterms:modified>
</cp:coreProperties>
</file>